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0" w:rsidRPr="006237A0" w:rsidRDefault="006237A0" w:rsidP="006237A0">
      <w:pPr>
        <w:shd w:val="clear" w:color="auto" w:fill="FFFFFF"/>
        <w:spacing w:before="112" w:after="100" w:afterAutospacing="1" w:line="224" w:lineRule="atLeast"/>
        <w:textAlignment w:val="top"/>
        <w:outlineLvl w:val="0"/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</w:pPr>
      <w:r w:rsidRPr="006237A0"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  <w:t>Tumore del colon-retto</w:t>
      </w:r>
    </w:p>
    <w:p w:rsidR="006237A0" w:rsidRPr="006237A0" w:rsidRDefault="006237A0" w:rsidP="006237A0">
      <w:pPr>
        <w:shd w:val="clear" w:color="auto" w:fill="FFFFFF"/>
        <w:spacing w:after="0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10"/>
          <w:szCs w:val="10"/>
          <w:lang w:eastAsia="it-IT"/>
        </w:rPr>
        <w:drawing>
          <wp:inline distT="0" distB="0" distL="0" distR="0">
            <wp:extent cx="1336040" cy="1656715"/>
            <wp:effectExtent l="19050" t="0" r="0" b="0"/>
            <wp:docPr id="1" name="Immagine 1" descr="tumore del colon-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ore del colon-ret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E la seconda causa di morte per tumore nell’insieme dei due sessi in Italia. Ogni anno 34.000 persone si ammalano di un carcinoma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 17.000 muoiono per questa malattia. L’incidenza e elevata nei Paesi ad alto sviluppo economico e di conseguenza si ritiene che il rischio sia associato ad una dieta ricca di grassi, proteine, calorie, alcol e carne, ma povera di fibre, calcio e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folati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Fattori di rischio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I tumori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colorettali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presentano, sotto il profilo del rischio tre caratteristiche di grande interesse:</w:t>
      </w:r>
    </w:p>
    <w:p w:rsidR="006237A0" w:rsidRPr="006237A0" w:rsidRDefault="006237A0" w:rsidP="0062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Fattori di rischio ambientali, prevalentemente di natura alimentare. 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piu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documentati sono il soprappeso e l’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obesita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una dieta ipercalorica, il consumo di grassi animali e carni rosse. Un’alimentazione ricca di vegetali sembra svolgere un ruolo protettivo. Molto controverso e il ruolo del fumo di tabacco, mentre e unanime l’accordo sulla funzione protettiva dell’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attivita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fisica indipendentemente dal peso corporeo.</w:t>
      </w:r>
    </w:p>
    <w:p w:rsidR="006237A0" w:rsidRPr="006237A0" w:rsidRDefault="006237A0" w:rsidP="0062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Lesioni precancerose, gli adenomi, che sono i precursori biologici della maggior parte dei carcinomi. La sequenza ADENOMA-CARCINOMA e ormai confermata, oltre che sotto il duplice profilo morfologico e clinico, anche da osservazioni biomolecolari.</w:t>
      </w:r>
    </w:p>
    <w:p w:rsidR="006237A0" w:rsidRPr="006237A0" w:rsidRDefault="006237A0" w:rsidP="0062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Fattori familiari ed ereditari, che determinano l’origine sicuramente genetica di due tipi di tumore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, che sono il cancro derivante dalla poliposi familiare ed il cancro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ereditario non su poliposi.</w:t>
      </w: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br/>
        <w:t>Il rischio di questo tumore (come in altri), dopo i 40 anni aumenta con l’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</w:p>
    <w:p w:rsidR="006237A0" w:rsidRPr="006237A0" w:rsidRDefault="006237A0" w:rsidP="00623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Malattie infiammatorie croniche dell'intestino.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Come si previene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Seguire una dieta bilanciata ricca di verdure e frutta fresca, limitata nella carne, povera di grassi, sale e conservanti contenenti nitrati. E determinante l’endoscopia, che mira ad evitare l’insorgenza del cancro attraverso la semplice rimozione, sempre per via endoscopica, dei polipi adenomatosi.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Diagnosi precoce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Dopo i 50 anni effettuare con cadenza biennale il test per la ricerca del sangue occulto nelle feci e, in caso di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positivita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, la colonscopia. Se esiste una storia familiare di carcinoma o polipi del grosso intestino, fin dalla giovane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rivolgersi a specialisti esperti in gastroenterologia per concordare programmi individuali di diagnosi precoce basati su controlli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colonscopici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br/>
        <w:t xml:space="preserve">Il Servizio Sanitario Nazionale, attraverso le Regioni, offre a tutti gli uomini e le donne, a partire dai 50 anni di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eta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la ricerca del sangue occulto nelle feci ogni due anni mediante comunicazione individuale ad entrare in un percorso, nel quale sono assicurati anche gli ulteriori esami di approfondimento e il trattamento eventualmente necessari (programma di “screening” organizzato).</w:t>
      </w: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br/>
        <w:t xml:space="preserve">Sono in corso di studio analisi molecolari di alterazioni geniche nelle cellule di esfoliazione del colon presenti nelle feci, quale nuovo approccio diagnostico non invasivo per individuare precocemente i tumori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colorettali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 perfino le lesioni precancerose.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Segni clinici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Modificazione delle abitudini intestinali: in particolare stipsi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ingravescente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ed alternanza fra stipsi e diarrea, perdita di sangue con le feci, dolori addominali di tipo colico.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Protocolli diagnostici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Markers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tumorali (CEA, CA 19.9),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rettocolonscopia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con biopsia, TAC, RX clisma opaco.</w:t>
      </w:r>
    </w:p>
    <w:p w:rsidR="006237A0" w:rsidRPr="006237A0" w:rsidRDefault="006237A0" w:rsidP="006237A0">
      <w:pPr>
        <w:pBdr>
          <w:bottom w:val="dotted" w:sz="4" w:space="1" w:color="E20026"/>
        </w:pBdr>
        <w:shd w:val="clear" w:color="auto" w:fill="FFFFFF"/>
        <w:spacing w:after="37" w:line="159" w:lineRule="atLeast"/>
        <w:textAlignment w:val="top"/>
        <w:outlineLvl w:val="3"/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</w:pPr>
      <w:r w:rsidRPr="006237A0">
        <w:rPr>
          <w:rFonts w:ascii="Verdana" w:eastAsia="Times New Roman" w:hAnsi="Verdana" w:cs="Times New Roman"/>
          <w:b/>
          <w:bCs/>
          <w:color w:val="E20026"/>
          <w:sz w:val="24"/>
          <w:szCs w:val="24"/>
          <w:lang w:eastAsia="it-IT"/>
        </w:rPr>
        <w:t>Trattamento</w:t>
      </w:r>
    </w:p>
    <w:p w:rsidR="006237A0" w:rsidRPr="006237A0" w:rsidRDefault="006237A0" w:rsidP="006237A0">
      <w:pPr>
        <w:shd w:val="clear" w:color="auto" w:fill="FFFFFF"/>
        <w:spacing w:before="19" w:after="94" w:line="159" w:lineRule="atLeast"/>
        <w:ind w:left="112" w:right="131"/>
        <w:jc w:val="both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Chirurgia - Resezione colica o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colorettale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(anche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videolaparoscopica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), chemioterapia </w:t>
      </w:r>
      <w:proofErr w:type="spellStart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pre</w:t>
      </w:r>
      <w:proofErr w:type="spellEnd"/>
      <w:r w:rsidRPr="006237A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e/o post-operatoria, associata (solo nel retto) a radioterapia preferibilmente preoperatoria.</w:t>
      </w:r>
    </w:p>
    <w:p w:rsidR="006237A0" w:rsidRPr="006237A0" w:rsidRDefault="006237A0" w:rsidP="006237A0">
      <w:pPr>
        <w:shd w:val="clear" w:color="auto" w:fill="FFFFFF"/>
        <w:spacing w:after="0" w:line="159" w:lineRule="atLeast"/>
        <w:textAlignment w:val="top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6237A0">
        <w:rPr>
          <w:rFonts w:ascii="Verdana" w:eastAsia="Times New Roman" w:hAnsi="Verdana" w:cs="Times New Roman"/>
          <w:color w:val="333333"/>
          <w:sz w:val="2"/>
          <w:szCs w:val="2"/>
          <w:lang w:eastAsia="it-IT"/>
        </w:rPr>
        <w:br w:type="textWrapping" w:clear="all"/>
      </w:r>
    </w:p>
    <w:p w:rsidR="000F776D" w:rsidRDefault="006237A0"/>
    <w:sectPr w:rsidR="000F776D" w:rsidSect="00804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361"/>
    <w:multiLevelType w:val="multilevel"/>
    <w:tmpl w:val="ED2A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237A0"/>
    <w:rsid w:val="00080B31"/>
    <w:rsid w:val="006237A0"/>
    <w:rsid w:val="00771DD0"/>
    <w:rsid w:val="0080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73C"/>
  </w:style>
  <w:style w:type="paragraph" w:styleId="Titolo1">
    <w:name w:val="heading 1"/>
    <w:basedOn w:val="Normale"/>
    <w:link w:val="Titolo1Carattere"/>
    <w:uiPriority w:val="9"/>
    <w:qFormat/>
    <w:rsid w:val="0062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3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37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37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37A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37A0"/>
    <w:rPr>
      <w:b/>
      <w:bCs/>
    </w:rPr>
  </w:style>
  <w:style w:type="character" w:customStyle="1" w:styleId="apple-converted-space">
    <w:name w:val="apple-converted-space"/>
    <w:basedOn w:val="Carpredefinitoparagrafo"/>
    <w:rsid w:val="006237A0"/>
  </w:style>
  <w:style w:type="paragraph" w:customStyle="1" w:styleId="testolaterale">
    <w:name w:val="testo_laterale"/>
    <w:basedOn w:val="Normale"/>
    <w:rsid w:val="0062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6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551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" w:color="FFFFFF"/>
                    <w:bottom w:val="dotted" w:sz="4" w:space="2" w:color="CCCCCC"/>
                    <w:right w:val="single" w:sz="4" w:space="2" w:color="FFFFFF"/>
                  </w:divBdr>
                </w:div>
              </w:divsChild>
            </w:div>
            <w:div w:id="1738892272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024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single" w:sz="4" w:space="2" w:color="DADADA"/>
                    <w:right w:val="none" w:sz="0" w:space="0" w:color="auto"/>
                  </w:divBdr>
                  <w:divsChild>
                    <w:div w:id="25493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7401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4" w:space="0" w:color="DADADA"/>
                    <w:right w:val="none" w:sz="0" w:space="0" w:color="auto"/>
                  </w:divBdr>
                  <w:divsChild>
                    <w:div w:id="256522808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8963">
                          <w:marLeft w:val="0"/>
                          <w:marRight w:val="37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0592">
                          <w:marLeft w:val="0"/>
                          <w:marRight w:val="37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Castobello</dc:creator>
  <cp:lastModifiedBy>Claudio Castobello</cp:lastModifiedBy>
  <cp:revision>1</cp:revision>
  <dcterms:created xsi:type="dcterms:W3CDTF">2016-06-29T10:48:00Z</dcterms:created>
  <dcterms:modified xsi:type="dcterms:W3CDTF">2016-06-29T10:48:00Z</dcterms:modified>
</cp:coreProperties>
</file>